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РУКОВОДСТВО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по заполнению шаблона электронных документов «Форма 20. Результаты расчетов объемов финансовых потребностей, необходимых для строительства (реконструкции)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 (версия шаблона 1.0)»</w:t>
      </w:r>
      <w:r>
        <w:rPr>
          <w:rFonts w:eastAsia="Calibri" w:cs="Times New Roman" w:ascii="Times New Roman" w:hAnsi="Times New Roman"/>
          <w:b/>
          <w:bCs/>
          <w:sz w:val="28"/>
          <w:szCs w:val="28"/>
        </w:rPr>
        <w:t xml:space="preserve"> (версия руководства 1.0) </w:t>
      </w:r>
    </w:p>
    <w:p>
      <w:pPr>
        <w:pStyle w:val="Normal"/>
        <w:spacing w:lineRule="auto" w:line="259" w:before="0" w:after="0"/>
        <w:jc w:val="both"/>
        <w:rPr>
          <w:rFonts w:ascii="Times New Roman" w:hAnsi="Times New Roman" w:eastAsia="Calibri" w:cs="Times New Roman"/>
          <w:b/>
          <w:b/>
          <w:sz w:val="28"/>
        </w:rPr>
      </w:pPr>
      <w:r>
        <w:rPr>
          <w:rFonts w:eastAsia="Calibri" w:cs="Times New Roman" w:ascii="Times New Roman" w:hAnsi="Times New Roman"/>
          <w:b/>
          <w:sz w:val="28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Общие положения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Настоящий документ содержит предусмотренное подпунктом «б» пункта 4 постановления Правительства Российской Федерации от 2 июня 2023 г. № 923 (далее – постановление № 923) руководство по заполнению шаблона электронных документов «Форма 20. Результаты расчетов объемов финансовых потребностей, необходимых для строительства (реконструкции)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Федерации» (далее – Форма 20), содержащих информацию о проекте инвестиционной программы субъекта электроэнергетики (далее – инвестиционная программа) и об обосновывающих ее материалах, указанную в абзаце пятом подпункта «м» пункта 19 и абзаце четвертом пункта 36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№ 24 (далее соответственно – руководство, шаблон, стандарты раскрытия информации).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Шаблон содержит электронные документы, образованные из форм, размещенных на листах электронной книги шаблона и заполняемых субъектами электроэнергетики информацией о проекте инвестиционной программы и об обосновывающих ее материалах, указанной в пункте 1 руководства, раскрываемой в соответствии со стандартами раскрытия информации с учетом особенностей, предусмотренных постановлением № 923 (далее – формы раскрытия).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Структура форм раскрытия, наименования их заголовков и показателей изменению не подлежат, если это не предусмотрено настоящим руководством при их заполнении.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Не допускается заполнение информации на листах электронных книг в ячейках, расположенных за пределами форм раскрытия и их заголовков.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Все ячейки форм раскрытия должны быть заполнены субъектом электроэнергетики в соответствии с настоящим руководством.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каждой ячейке формы раскрытия указывается только одно значение показателя, если иное не определено настоящим руководством в отношении заполнения соответствующей формы раскрытия.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случае отсутствия значений каких-либо показателей, предусмотренных шаблоном, в соответствующих им ячейках форм раскрытия указывается слово «нд», если иное не определено настоящим руководством в отношении заполнения соответствующей формы раскрытия.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При необходимости указания в одной ячейке формы раскрытия нескольких значений показателя, в качестве разделителей таких значений используется знак «;».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Наименования субъектов Российской Федерации при заполнении форм раскрытия указываются в соответствии с Конституцией Российской Федерации.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соответствии с подпунктом «к» пункта 4 постановления № 923 шаблон и настоящее руководство размещаются на официальном сайте Минэнерго России в информационно-телекоммуникационной сети Интернет (minenergo.gov.ru) в разделе «Инвестиционные программы субъектов электроэнергетики».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заголовках форм раскрытия: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после слов «Проект инвестиционной программы» указывается полное наименование субъекта электроэнергетики, который раскрывает информацию о проекте инвестиционной программы и об обосновывающих ее материалах;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после слов «Год раскрытия информации:» указываются четыре цифры года, в котором раскрывается информация о проекте инвестиционной программы и об обосновывающих ее материалах.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Не допускается при заполнении Формы 20 указание каких-либо значений в формате диапазонов (например, 6 – 10 кВ, ячейка (авто-) трансформатора 6 – 750 кВ и т.д.).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Форма 20 заполняется в отношении всех инвестиционных проектов, предусматривающих строительство (реконструкцию, модернизацию, техническое перевооружение и (или) демонтаж) объектов электросетевого хозяйства с применением типовых технологических решений капитального строительства объектов электроэнергетики в части объектов электросетевого хозяйства, предусмотренных в составе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хозяйства, утвержденных Министерством энергетики Российской Федерации (далее – УНЦ, утвержденные УНЦ).</w:t>
      </w:r>
    </w:p>
    <w:p>
      <w:pPr>
        <w:pStyle w:val="ListParagraph"/>
        <w:spacing w:before="0" w:after="0"/>
        <w:ind w:left="709" w:hanging="0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lang w:val="en-US" w:eastAsia="ru-RU"/>
        </w:rPr>
        <w:t>II</w:t>
      </w:r>
      <w:r>
        <w:rPr>
          <w:rFonts w:eastAsia="Times New Roman" w:cs="Times New Roman" w:ascii="Times New Roman" w:hAnsi="Times New Roman"/>
          <w:b/>
          <w:sz w:val="28"/>
          <w:lang w:eastAsia="ru-RU"/>
        </w:rPr>
        <w:t xml:space="preserve">. Форма раскрытия Форма 20 «Раздел 1. </w:t>
      </w:r>
      <w:r>
        <w:rPr>
          <w:rFonts w:cs="Times New Roman" w:ascii="Times New Roman" w:hAnsi="Times New Roman"/>
          <w:b/>
          <w:sz w:val="28"/>
          <w:szCs w:val="28"/>
        </w:rPr>
        <w:t>Объемы финансовых потребностей в соответствии с укрупненными нормативами цены типовых технологических решений капитального строительства объектов электроэнергетики»</w:t>
      </w:r>
    </w:p>
    <w:p>
      <w:pPr>
        <w:pStyle w:val="Normal"/>
        <w:spacing w:before="0" w:after="0"/>
        <w:ind w:firstLine="709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cs="Times New Roman" w:ascii="Times New Roman" w:hAnsi="Times New Roman"/>
          <w:sz w:val="28"/>
          <w:highlight w:val="yellow"/>
        </w:rPr>
        <w:t>Столбцы 1-3 заполняются в соответствии с руководством по заполнению шаблона формы «План финансирования капитальных вложений по инвестиционным проектам».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4 указывается наименование типового технологического решения, предусмотренного утвержденными УНЦ, принятого для расчета УНЦ на основании утвержденных значений технических и количественных показателей технологических решений объектов электросетевого хозяйства, а также конкретный класс напряжения из диапазона, предусмотренного в утвержденных УНЦ (например, «ячейка (авто-) трансформатора 6 кВ»).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5 указывается наименование одного УНЦ, который используется для определения объема финансовых потребностей в соответствии с утвержденными УНЦ в отношении типового технологического решения, указанного в столбце 4, а также конкретный класс напряжения из диапазона, предусмотренного в утвержденных УНЦ (например, «УНЦ ячейки выключателя НУ 110 кВ»).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6 указывается наименование одного конкретного объекта электросетевого хозяйства, на котором применяется типовое технологическое решение, указанное в столбце 4 (диспетчерское наименование электрической (трансформаторной, распределительной, комплектной) подстанции (далее – ПС, ТП, РТП, КТП), воздушной линии электропередачи (далее – ВЛ), участка ВЛ (при необходимости), кабельной линии электропередачи (далее – КЛ), линейно-кабельных сооружений волоконно-оптической линии связи (далее – ВОЛС), пункта переходного (секционирования, коммерческого учета, соединительного (далее – СП), распределительного (далее – РП), перехода ВЛ, плавки гололеда), наименование административного (производственного) здания, магистрального газопровода, магистрального нефтепровода), наименование районных электрических сетей для организации коммерческого учета электрической энергии, наименование объекта соответствующей инфраструктуры, в том числе на стороне которого реализуются технические (технологические) решения в соответствии с реализуемыми техническими условиями).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7 указывается номер этапа строительства (реализации проекта) если утвержденной в соответствии с законодательством о градостроительной деятельности проектной документацией предусматриваются этапы проекта.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 </w:t>
      </w:r>
      <w:r>
        <w:rPr>
          <w:rFonts w:cs="Times New Roman" w:ascii="Times New Roman" w:hAnsi="Times New Roman"/>
          <w:sz w:val="28"/>
          <w:highlight w:val="yellow"/>
        </w:rPr>
        <w:t>В столбце 8 в соответствии с руководством по заполнению шаблона формы «План финансирования капитальных вложений по инвестиционным проектам» указывается текущая стадия реализации инвестиционного проекта, а при наличии этапа строительства объекта – текущая стадия реализации этапа строительства.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cs="Times New Roman" w:ascii="Times New Roman" w:hAnsi="Times New Roman"/>
          <w:sz w:val="28"/>
          <w:highlight w:val="yellow"/>
        </w:rPr>
        <w:t>В столбце 9 указывается планируемый (фактический) год ввода в эксплуатацию объекта, указанного в столбце 6, при реализации на нем типового технологического решения, указанного в столбце 4. Год ввода в эксплуатацию определяется в соответствии с руководством по заполнению шаблона «Ввод объектов инвестиционной деятельности (мощностей) в эксплуатацию».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10 указывается значение номинального (высшего) класса напряжения оборудования и элементов электроустановок, их вспомогательных систем, зданий (строений, сооружений), на которых реализуется типовое технологическое решение, указанное в столбце 4: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для ячейки (авто-) трансформатора – класс напряжения обмотки высшего напряжения оборудования, кВ; для распределительного устройства (РУ), переключательного пункта, ПС, закрытой ПС, КТП, ТП, РП, РТП, СП – высший класс напряжения оборудования, кВ;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для управляемых элементов электрической сети, для ячейки выключателя и элементов ПС (реклоузера, реактора, токопровода, шинной опоры, разъединителя, устройств защиты от перенапряжений, оборудования для компенсации реактивной мощности, дизель-генераторной установки, токоограничивающего оборудования, установки плавки гололеда, системы оперативного постоянного тока и собственных нужд ПС, системы учета электрической энергии (мощности), АИИС КУЭ, ПКУ, технического учета электрической энергии и т.д) – номинальный класс напряжения оборудования, кВ;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для ВЛ (КЛ) (провода, грозотроса, опор ВЛ, защиты опор ВЛ, гирлянд изоляторов, ВОЛС, устройства перехода ВЛ (КЛ, ВОК), кабельных сооружений, траншеи КЛ, горизонтально-направленного бурения (далее – ГНБ) кабельной линии) – проектный номинальный класс напряжения ВЛ (КЛ), кВ;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для зданий ПС (ОПУ, ЗРУ, РЩ, ЗПС, РПБ, а также прочих зданий и сооружений или инженерных систем зданий) – высший класс напряжения ПС или основного оборудования, которое относится к указанному зданию, кВ;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для систем релейной защиты и автоматики, АСУ ТП и телемеханики, сетей связи, систем ВЧ связи, УПАСК, ПА, комплекса систем безопасности ПС – класс напряжения оборудования ПС (ВЛ, КЛ) в отношении которого реализуется соответствующая система, кВ;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для мероприятий по очистке местности объекта от взрывоопасных предметов, проектных и изыскательских работ, подготовке и устройству территории ПС (ЗПС, элементов ПС), разработке и утверждению ДПТ, кадастровых работ и работ по установлению земельных отношений – номинальный класс напряжения ПС (ВЛ, КЛ) или основного оборудования, которое относится к указанному мероприятию, кВ.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11 указываются дополнительные технические, которые отсутствуют в УНЦ и конкретизируют типовое техническое решение, указанное в столбце 4.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12 указывается полное наименование внутреннего распорядительного документа субъекта электроэнергетики, в котором определены значения технических и количественных показателей технологических решений объектов электросетевого хозяйства, достигаемых по результатам их строительства (реконструкции, модернизации, технического перевооружения и (или) демонтажа) и соответствующих определенным в утвержденных УНЦ характеристикам выбираемых типовых технологических решений и УНЦ</w:t>
      </w:r>
      <w:r>
        <w:rPr>
          <w:rFonts w:eastAsia="Times New Roman" w:cs="Times New Roman" w:ascii="Times New Roman" w:hAnsi="Times New Roman"/>
          <w:sz w:val="28"/>
          <w:szCs w:val="28"/>
        </w:rPr>
        <w:t>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13 указываются реквизиты внутреннего распорядительного документа субъекта электроэнергетики (дата и номер), указанного в столбце 12.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0" w:name="_Ref161414300"/>
      <w:r>
        <w:rPr>
          <w:rFonts w:cs="Times New Roman" w:ascii="Times New Roman" w:hAnsi="Times New Roman"/>
          <w:sz w:val="28"/>
        </w:rPr>
        <w:t>В столбце 14 указывается наименование субъекта Российской Федерации, на территории которого реализуется технологическое решение (мероприятие), указанное в столбце 4.</w:t>
      </w:r>
      <w:bookmarkEnd w:id="0"/>
      <w:r>
        <w:rPr>
          <w:rFonts w:cs="Times New Roman" w:ascii="Times New Roman" w:hAnsi="Times New Roman"/>
          <w:sz w:val="28"/>
        </w:rPr>
        <w:t xml:space="preserve">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Если территория субъекта Российской Федерации разделена на ценовые зоны, то в скобках после наименования субъекта</w:t>
      </w:r>
      <w:r>
        <w:rPr/>
        <w:t xml:space="preserve"> </w:t>
      </w:r>
      <w:r>
        <w:rPr>
          <w:rFonts w:cs="Times New Roman" w:ascii="Times New Roman" w:hAnsi="Times New Roman"/>
          <w:sz w:val="28"/>
        </w:rPr>
        <w:t>Российской Федерации, на территории которого реализуется технологическое решение, указывается наименование соответствующей ценовой зоны.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Если инвестиционный проект реализуется на территории нескольких ценовых зон одного субъекта Российской Федерации либо на территории нескольких субъектов Российской Федерации, то в отношении каждого субъекта Российской Федерации или ценовой зоны заполняется отдельная строка в разделе 1 Формы 20, содержащая показатели инвестиционного проекта в части соответствующей территории.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</w:rPr>
        <w:t xml:space="preserve">В столбцах 15, 16, 17 указываются применяемые коэффициенты перехода (пересчета) от измерителя (единицы измерения) УНЦ к измерителю (единицы измерения) технологического решения (далее – расчетный коэффициент УНЦ), которые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соответствии с положениями утвержденных УНЦ необходимо применять для учета особенностей типовых технологических решений, определенных в описании таких расчетных коэффициентов.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Значения </w:t>
      </w:r>
      <w:r>
        <w:rPr>
          <w:rFonts w:cs="Times New Roman" w:ascii="Times New Roman" w:hAnsi="Times New Roman"/>
          <w:sz w:val="28"/>
        </w:rPr>
        <w:t>расчетных коэффициентов УНЦ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равны 1, если иное не предусмотрено в утвержденных УНЦ в описании таких коэффициентов. 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18 указываются количественные показатели (количество) на заданный в столбце 19 измеритель (единицу измерения) УНЦ.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 </w:t>
      </w:r>
      <w:r>
        <w:rPr>
          <w:rFonts w:cs="Times New Roman" w:ascii="Times New Roman" w:hAnsi="Times New Roman"/>
          <w:sz w:val="28"/>
        </w:rPr>
        <w:t>В столбце 19 указывается измеритель (единица измерения) УНЦ.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 </w:t>
      </w:r>
      <w:r>
        <w:rPr>
          <w:rFonts w:cs="Times New Roman" w:ascii="Times New Roman" w:hAnsi="Times New Roman"/>
          <w:sz w:val="28"/>
        </w:rPr>
        <w:t>В столбце 20 указывается номер расценки УНЦ в соответствии с утвержденными УНЦ.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 </w:t>
      </w:r>
      <w:r>
        <w:rPr>
          <w:rFonts w:cs="Times New Roman" w:ascii="Times New Roman" w:hAnsi="Times New Roman"/>
          <w:sz w:val="28"/>
        </w:rPr>
        <w:t>В столбце 21 указывается численное значение УНЦ в тыс. рублей без НДС в соответствии с утвержденными УНЦ.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 </w:t>
      </w:r>
      <w:r>
        <w:rPr>
          <w:rFonts w:cs="Times New Roman" w:ascii="Times New Roman" w:hAnsi="Times New Roman"/>
          <w:sz w:val="28"/>
        </w:rPr>
        <w:t>В столбце 22 указывается коэффициент перехода от базовых нормативов к территориальному уровню нормативов, который соответствует коэффициенту перехода (пересчета) от базового УНЦ к уровню цен УНЦ субъекта Российской Федерации, указанного в столбце 14, в соответствии с утвержденными УНЦ.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В столбце 23 по каждому УНЦ указывается объем финансовых потребностей в тыс. рублей без НДС, определяемый как произведение: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расчетных коэффициентов УНЦ (численные значения из столбцов 15, 16, 17);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количественной характеристики (численное значение из столбца 18);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укрупненного норматива цены (численное значение из столбца 21);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коэффициента перехода от базовых нормативов к территориальному уровню нормативов (численное значение из столбца 22).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/>
      </w:pPr>
      <w:r>
        <w:rPr>
          <w:rFonts w:cs="Times New Roman" w:ascii="Times New Roman" w:hAnsi="Times New Roman"/>
          <w:sz w:val="28"/>
        </w:rPr>
        <w:t xml:space="preserve"> </w:t>
      </w:r>
      <w:r>
        <w:rPr>
          <w:rFonts w:cs="Times New Roman" w:ascii="Times New Roman" w:hAnsi="Times New Roman"/>
          <w:sz w:val="28"/>
        </w:rPr>
        <w:t xml:space="preserve">В отношении каждого инвестиционного проекта в разделе 1 Формы 20 заполняется количество, соответствующее количеству типовых технологических решений, применяемых при реализации инвестиционного проекта, с учетом положений пункта </w:t>
      </w:r>
      <w:r>
        <w:rPr>
          <w:rFonts w:cs="Times New Roman" w:ascii="Times New Roman" w:hAnsi="Times New Roman"/>
          <w:sz w:val="28"/>
        </w:rPr>
        <w:fldChar w:fldCharType="begin"/>
      </w:r>
      <w:r>
        <w:instrText> REF _Ref161414300 \r \h </w:instrText>
      </w:r>
      <w:r>
        <w:fldChar w:fldCharType="separate"/>
      </w:r>
      <w:r>
        <w:t>18</w:t>
      </w:r>
      <w:r>
        <w:fldChar w:fldCharType="end"/>
      </w:r>
      <w:r>
        <w:rPr>
          <w:rFonts w:cs="Times New Roman" w:ascii="Times New Roman" w:hAnsi="Times New Roman"/>
          <w:sz w:val="28"/>
        </w:rPr>
        <w:t xml:space="preserve"> настоящего руководства. При этом данные в столбцах 1 – 3 дублируются в каждой строке, а в столбце 4 и последующих указывается очередной УНЦ и соответствующие ему показатели.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После формирования в отношении инвестиционного проекта необходимого количества строк формируется результирующая срока, в которой в столбце 4 указывается «Итого объем финансовых потребностей по инвестиционному проекту, тыс. рублей, без НДС», при этом данные в столбцах 1 – 3 по результирующей строке также дублируются, а в остальных столбцах, кроме столбца 23, указывается значение «нд».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Далее, по итогам определения величины затрат (в части мероприятий нормируемых УНЦ), необходимых для строительства (реконструкции, модернизации, технического перевооружения и (или) демонтажа) объектов электросетевого хозяйства, выполненных в соответствии с УНЦ по каждому отдельному мероприятию инвестиционного проекта, определяется общий объем финансовых потребностей по инвестиционному проекту как сумма всех нормируемых затрат по каждой строке в соответствии с количеством применяемых УНЦ, который указывается в результирующей строке по столбцу 23 «Итого объем финансовых потребностей по инвестиционному проекту, тыс. рублей, без НДС» и учитывается при определении итогового объема финансовых потребностей в соответствии с УНЦ (раздел 3).</w:t>
      </w:r>
    </w:p>
    <w:p>
      <w:pPr>
        <w:pStyle w:val="ListParagraph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 </w:t>
      </w:r>
      <w:r>
        <w:rPr>
          <w:rFonts w:cs="Times New Roman" w:ascii="Times New Roman" w:hAnsi="Times New Roman"/>
          <w:sz w:val="28"/>
        </w:rPr>
        <w:t>В столбце 24 указывается краткое обоснование корректировки утвержденных значений технических и количественных показателей технологических решений объектов электросетевого хозяйства с описанием причин в соответствии с изменениями, вносимыми во внутренний распорядительный документ субъекта электроэнергетики, согласно которому утверждены технологические решения, указанный в столбце 12 (13).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При включении нового инвестиционного проекта или при отсутствии изменений для соответствующего УНЦ, относительно утвержденной инвестиционной программы субъекта электроэнергетики указывается значение «нд».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Исключаемые мероприятия УНЦ в соответствии с изменениями, вносимыми во внутренний распорядительный документ субъекта электроэнергетики, согласно которому утверждены технологические решения, указанный в столбце 12 (13) исключаются из формы 20 и столбец 24 не заполняется.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eastAsia="Times New Roman" w:cs="Times New Roman" w:ascii="Times New Roman" w:hAnsi="Times New Roman"/>
          <w:b/>
          <w:sz w:val="28"/>
          <w:lang w:val="en-US" w:eastAsia="ru-RU"/>
        </w:rPr>
        <w:t>III</w:t>
      </w:r>
      <w:r>
        <w:rPr>
          <w:rFonts w:eastAsia="Times New Roman" w:cs="Times New Roman" w:ascii="Times New Roman" w:hAnsi="Times New Roman"/>
          <w:b/>
          <w:sz w:val="28"/>
          <w:lang w:eastAsia="ru-RU"/>
        </w:rPr>
        <w:t xml:space="preserve">. Форма раскрытия Форма 20 </w:t>
      </w:r>
      <w:r>
        <w:rPr>
          <w:rFonts w:cs="Times New Roman" w:ascii="Times New Roman" w:hAnsi="Times New Roman"/>
          <w:b/>
          <w:sz w:val="28"/>
        </w:rPr>
        <w:t>«Раздел 2. Объемы финансовых потребностей в части затрат, не учтенных в укрупненных нормативах цены типовых технологических решений капитального строительства объектов электроэнергетики»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highlight w:val="yellow"/>
        </w:rPr>
        <w:t>26. Столбцы № 1-3 заполняются в соответствии с действующими правилами заполнения форм инвестиционных программ субъектов электроэнергетики.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cs="Times New Roman" w:ascii="Times New Roman" w:hAnsi="Times New Roman"/>
          <w:sz w:val="28"/>
          <w:highlight w:val="yellow"/>
        </w:rPr>
        <w:t>27. Столбец 4 заполняется в отношении видов затрат по инвестиционному проекту, которые не учитывают утвержденные УНЦ, и которые соответствуют утвержденной в соответствии с законодательством о градостроительной деятельности проектной документации по одной из следующих групп затрат: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«1_НЗ» – «Затраты на получение (разработку) специальных технических условий, затраты на научно-техническое сопровождение инженерных изысканий, проектирования и строительства, затраты на геотехнический мониторинг и другие виды мониторинга, проводимые в соответствии с документами, включенными в перечень документов в области стандартизации, утверждаемый в соответствии с частью 7 статьи 6, части 4 статьи 42 Федерального закона от 30 декабря 2009 г. № 384-ФЗ «Технический регламент о безопасности зданий и сооружений», затраты на работы по микросейсморайонированию при выполнении инженерных изысканий, затраты на подготовку материалов в формате информационной модели при разработке проектной и рабочей документации и при осуществлении строительства, затраты на проведение экологической и историко-культурной экспертизы проектной документации, затраты на оценку соответствия изменений, внесенных в проектную документацию, получившую положительное заключение экспертизы проектной документации, требованиям законодательства Российской Федерации, заданию застройщика или технического заказчика на проектирование, результатам инженерных изысканий, а также оценка соответствия изменений, внесенных в результаты инженерных изысканий, требованиям технических регламентов, осуществленную в форме экспертного сопровождения, затраты на разработку и экспертизу проекта освоения лесов, проекта лесовосстановления, проекта лесоразведения, таксационные описания»;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«2_НЗ» – «Затраты, связанные с платой за использование земельного участка, водных объектов или их частей для строительства объектов электросетевого хозяйства (аренда, приобретение (выкуп), сервитут), затраты, связанные с оформлением прав владения и пользования на земельные участки, затраты, связанные с изъятием земельных участков для государственных или муниципальных нужд в целях строительства, реконструкции объектов федерального значения, объектов регионального значения или объектов местного значения»;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«3_НЗ» – «Компенсационные затраты (компенсация ущерба), связанные с возмещением убытков, причиненных землепользователям, землевладельцам, арендаторам земельных участков, используемых для строительства объектов электросетевого хозяйства (сооружений, коммуникаций транспортной, газовой и инженерной инфраструктуры при пересечении последних объектами электросетевого хозяйства), убытки, которые они несут в связи с досрочным прекращением своих обязательств перед третьими лицами, затраты, связанные с временным занятием земельных участков, возмещение убытков при ухудшении качества земель, ограничении прав в связи с установлением и изменением зон с особыми условиями использования территорий, затраты, связанные с получением и реализацией технических условий собственников транспортной, газовой и инженерной инфраструктуры, в том числе затраты на внеплощадочные сети водоснабжения (водоотведения, теплоснабжения) электрической подстанции (далее – ПС)»;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«4_НЗ» – «Затраты на мероприятия по усилению конструкции дорог  для обеспечения движения строительной техники и перевозки максимальных по массе и габаритам строительных грузов, затраты на содержание и восстановление дорог после окончания строительства, за исключением восстановления дорожного покрытия при прокладке кабельной линии, затраты, связанные с транспортировкой опасных, тяжеловесных и (или) крупногабаритных грузов, затраты за использование транспортной инфраструктуры, компенсационные затраты организациям железнодорожного, речного, автомобильного транспорта и другим организациям за предоставление перерывов в движении транспорта для производства строительно-монтажных работ, в том числе технический надзор собственников (владельцев) указанных организаций, затраты на установку страховочных пакетов при пересечении кабельных линий электропередачи (далее соответственно – КЛ, ЛЭП) железнодорожных путей, затраты на использование башенных кранов, плавучих средств и вертолётов»;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«5_НЗ» – «Плата за негативное воздействие на окружающую среду, в том числе за нанесение ущерба биологическим ресурсам и восстановления их популяций, компенсационные затраты за снос зеленых насаждений (древесно-кустарниковой и травянистой растительности естественного и искусственного происхождения, выполняющих средообразующие, рекреационные, санитарно-гигиенические, экологические и эстетические функции), затраты на лесовосстановление и уход за лесными насаждениями после посадки, затраты на создание защитных минерализованных полос противопожарных барьеров в местах вырубки (расширения, расчистки) просеки ЛЭП»;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«6_НЗ» – «Затраты на стравливание газа из перекрываемого участка газопровода»;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«7_НЗ» – «Затраты на врезку в газопровод под давлением»;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«8_НЗ» – «Затраты на организацию работ в котловане в сильнообводненных грунтах с использованием шпунтового ограждения, в том числе организация отведения грунтовых вод из котлована»;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«9_НЗ» – «Затраты по инженерной защите территории строительства от различных геологических и гидрогеологических процессов»;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«10_НЗ» – «Затраты в отношении сечений коммерческого учета оптового рынка электрической энергии и мощности на проведение испытаний средств измерений в целях утверждения типа АИИС КУЭ, оформление свидетельства об утверждении типа АИИС КУЭ (в том числе разработка программы испытаний, разработка проекта методики поверки, разработка проекта описания типа, оформление акта и протокола испытания средства измерений), проведение поверки АИИС КУЭ и оформление свидетельства о поверке АИИС КУЭ, разработку и аттестацию методики измерений АИИС КУЭ (в том числе внесение методики измерений в Федеральный информационный фонд по обеспечению единства измерений), установление соответствия техническим требованиям оптового рынка электрической энергии и мощности с целью получения паспорта соответствия АИИС КУЭ»;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«11_НЗ» – «Затраты в отношении автоматизированной системы управления технологическим процессом (далее – АСУ ТП) в части метрологической экспертизы технической документации на измерительную систему, а также калибровки измерительной системы»;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«12_НЗ» – «Затраты на привлечение заемного финансирования для реализации инвестиционных проектов, затраты, связанные с компенсацией затрат на оплату процентов за пользование кредитами, займами в случаях, предусмотренных законодательством Российской Федерации»;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«13_НЗ» – «Затраты, связанные с предоставлением обязательной банковской гарантии в качестве обеспечения исполнения контракта и гарантийных обязательств, в случаях, когда указанные затраты являются обязательными по требованию заказчика»;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«14_НЗ» – «Затраты на страхование объекта строительства, осуществляемое в соответствии законодательством Российской Федерации, в случаях, когда указанные затраты являются обязательными по требованию заказчика»;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«15_НЗ» – «Затраты на расширенное банковское сопровождение в случаях, установленных пунктом 3 постановления Правительства Российской Федерации от 20 сентября 2014 г. № 963 «Об осуществлении банковского сопровождения контрактов»»;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«16_НЗ» – «Затраты на выполнение работ на существующем оборудовании ПС по приведению его в соответствие с требованиями проектной документации в части, не относящейся к типовым технологическим решениям, предусмотренным настоящим документом (в том числе в части программного обеспечения (далее – ПО), пусконаладочных работ, модернизации, доукомплектации)»;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«17_НЗ» – «Затраты на проведение обязательного публичного технологического и ценового аудита крупных инвестиционных проектов с государственным участием в порядке, установленном Положением о проведении публичного технологического и ценового аудита крупных инвестиционных проектов с государственным участием, утвержденным постановлением Правительства Российской Федерации от 30 апреля 2013 г. № 382»;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«18_НЗ» – «Затраты на реализацию мероприятий по защите электросетевых объектов от внешних военных угроз, в том числе на установку системы обнаружения и противодействия малым беспилотным воздушным судам гражданского класса»;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«19_НЗ» – «Затраты на обеспечение безопасности строящихся объектов, требования к которой устанавливаются нормативными правовыми актами и связаны, в том числе с обеспечением безопасности при строительстве, реконструкции и техническом перевооружении объектов капитального строительства, обеспечением транспортной безопасности и прочими случаями, требующими привлечения организаций, осуществляющих свою деятельность на основании специальных разрешений (лицензий) или осуществляющих деятельность, требующую аккредитации, подразделений военизированной (усиленной) охраны и специального инженерного обеспечения, а также затраты на гражданскую оборону в период строительства»;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«20_НЗ» – «Затраты на системы диагностики и мониторинга оборудования ПС, КЛ и воздушных ЛЭП (далее – ВЛ)»;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«21_НЗ» – «Затраты на осуществление заземления нейтрали через резистор в электрических сетях 6 – 35 кВ»;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«22_НЗ» – «Затраты на оборудование информационно-технологических систем (далее – ИТС) в части, обеспечивающей осуществление обмена информацией между устройствами релейной защиты (далее – РЗ) и автоматики (далее – РЗА), контроллерами присоединений (далее – КП) и верхним уровнем АСУ ТП с использованием протоколов обмена информации «общие объектно-ориентированные события на подстанции» (GOOSE (Generic Object Oriented Substation Events) (далее – протокол GOOSE) и «выборочное значение» (SV (Sampled Values) (далее – протокол SV)»;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«23_НЗ» – «Затраты на оборудование систем единого точного времени»;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«24_НЗ» – «Затраты на оборудование цифровых систем передачи информации»;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«25_НЗ» – «Затраты на трансформаторы напряжения мощностью более 1600 ВА».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highlight w:val="yellow"/>
        </w:rPr>
        <w:t>28. В столбце № 5 указывается наименование затрат в соответствии с утвержденной проектной документацией.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29. В столбце № 6 в отношении одного технологического решения (мероприятия) указывается наименование одного объекта электросетевого хозяйства (электрической (трансформаторной, распределительной) подстанции (далее – ПС, ТП, РТП, КТП), воздушной линии электропередачи (далее – ВЛ), участка ВЛ (при необходимости), кабельной линии электропередачи (далее – КЛ), линейно-кабельных сооружений волоконно-оптической линии связи (далее – ВОЛС), пункта переходного (секционирования, коммерческого учета, соединительного (далее – СП), распределительного (далее – РП), перехода ВЛ, плавки гололеда), административного (производственного) здания, магистрального газопровода, магистрального нефтепровода), наименование районных электрических сетей для организации коммерческого учета электрической энергии, наименование объекта соответствующей инфраструктуры, в том числе на стороне которого реализуются технические (технологические) решения в соответствии с реализуемыми техническими условиями).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30. В столбце № 7 указывается: номер этапа строительства в соответствии с Градостроительным кодексом Российской Федерации в случае если проектной документацией предусмотрено выделение этапов в составе проектной документации; либо при отсутствии – «нд».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31. В столбце № 8 указывается наименование собственника объектов (землепользователей, землевладельцев, арендаторов и т.д.) (далее – организации, лица) в отношении которых производится компенсация (переустройство, плата и т.д.) по конкретному виду затрат, указанному в столбце № 5.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32. В столбце № 9 указывается количественная характеристика (количество) в отношении конкретного вида затрат (расчету, локальному сметному расчету), данные о котором указаны в столбце 11.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highlight w:val="yellow"/>
        </w:rPr>
        <w:t>33. В столбце № 10 указывается измеритель количества, указанного в столбце 9 - единица измерения в отношении конкретного вида затрат, характеризующее мероприятие в целом (то есть шт., га, м2, м3, км, м, тн) или другого показателя из расчета (локального расчета, сметного расчета и т.д.).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highlight w:val="yellow"/>
        </w:rPr>
        <w:t>34. В столбце № 11 указывается номер сметного расчета утвержденной проектной документации.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35. В столбце № 12 указывается величина затрат в ценах, сложившихся ко времени составления сметной документации в тыс. рублей с учетом НДС, согласно данным о стоимости, указанным в целом по расчету (сметному расчету) с учетом начисленных по расчету прочих затрат (временные здания и сооружения, производство затрат в зимнее время, содержание службы заказчика, строительный контроль, непредвиденные затраты).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cs="Times New Roman" w:ascii="Times New Roman" w:hAnsi="Times New Roman"/>
          <w:sz w:val="28"/>
          <w:highlight w:val="yellow"/>
        </w:rPr>
        <w:t xml:space="preserve">36. В отношении каждого инвестиционного проекта заполняется необходимое количество строк в соответствии с количеством наименований ненормируемых затрат. При этом данные в столбцах № 1-3 дублируются в каждой строке, а в столбце № 4 и последующих указывается очередной вид ненормируемых затрат и данные по нему.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cs="Times New Roman" w:ascii="Times New Roman" w:hAnsi="Times New Roman"/>
          <w:sz w:val="28"/>
          <w:highlight w:val="yellow"/>
        </w:rPr>
        <w:t>После формирования в отношении инвестиционного проекта необходимого количества строк по каждому виду ненормируемых затрат, формируется результирующая строка, где в столбце № 5 указывается «Итого объем финансовых потребностей по инвестиционному проекту, тыс. рублей», при этом данные в столбцах № 1 – 3 по результирующей строке также дублируются, а в остальных столбцах кроме столбца № 12 указывается «нд».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highlight w:val="yellow"/>
        </w:rPr>
        <w:t>Далее, по итогам определения величины ненормируемых затрат, необходимых для строительства (реконструкции, модернизации, технического перевооружения и (или) демонтажа) объектов электросетевого хозяйства, по каждому отдельному мероприятию инвестиционного проекта, определяется общий объем финансовых потребностей по инвестиционному проекту как сумма всех ненормируемых затрат по каждой строке, который указывается в результирующей строке столбце по столбцу № 12 «итого объем финансовых потребностей по инвестиционному проекту, тыс. рублей» и учитывается при определении итогового объема финансовых потребностей в соответствии с УНЦ (раздел 20.3).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highlight w:val="yellow"/>
        </w:rPr>
        <w:t>37. В столбце № 13 указывается расчетная величина удельного показателя ненормируемых затрат как отношение затрат, указанных в столбце № 12, к количественному показателю, указанному в столбце № 9.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38. В столбце № 14 указывается краткое обоснование корректировки утвержденных показателей с описанием причин – в соответствии с изменениями, вносимыми в наименования данных о сметном расчете, которые указываются в столбцах 5, 9, 11, 12; «нд» – при отсутствии изменений в мероприятия относительно утвержденной инвестиционной программы или при включении мероприятий нового инвестиционного проекта, указанным в столбце №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spacing w:before="0" w:after="0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134" w:right="850" w:header="708" w:top="1134" w:footer="0" w:bottom="1134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500635893"/>
    </w:sdtPr>
    <w:sdtContent>
      <w:p>
        <w:pPr>
          <w:pStyle w:val="Style21"/>
          <w:jc w:val="center"/>
          <w:rPr/>
        </w:pPr>
        <w:r>
          <w:rPr>
            <w:rFonts w:cs="Times New Roman" w:ascii="Times New Roman" w:hAnsi="Times New Roman"/>
            <w:sz w:val="28"/>
          </w:rPr>
          <w:fldChar w:fldCharType="begin"/>
        </w:r>
        <w:r>
          <w:instrText> PAGE 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>
    <w:pPr>
      <w:pStyle w:val="Style2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1429" w:hanging="7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588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93576d"/>
    <w:rPr/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93576d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Style21">
    <w:name w:val="Header"/>
    <w:basedOn w:val="Normal"/>
    <w:link w:val="a4"/>
    <w:uiPriority w:val="99"/>
    <w:unhideWhenUsed/>
    <w:rsid w:val="0093576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a6"/>
    <w:uiPriority w:val="99"/>
    <w:unhideWhenUsed/>
    <w:rsid w:val="0093576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f115bb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4911-F1E5-4FB0-B210-7549CBF1B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Application>LibreOffice/5.3.6.1$Linux_X86_64 LibreOffice_project/30$Build-1</Application>
  <Pages>5</Pages>
  <Words>3567</Words>
  <Characters>26568</Characters>
  <CharactersWithSpaces>30098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2024-03-12T13:40:00Z</dcterms:created>
  <dc:creator>Черкаева Светлана Васильевна</dc:creator>
  <dc:description/>
  <dc:language>ru-RU</dc:language>
  <cp:lastModifiedBy>Коломийчук Алексей Игоревич</cp:lastModifiedBy>
  <dcterms:modified xsi:type="dcterms:W3CDTF">2024-03-21T08:15:00Z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